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Переоценка доказательств, на которую направлены доводы жалобы, и установление на её основе иных фактических обстоятельств дела не относятся к полномочиям Судебной коллегии Верховного Суда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транспорта и дорожного хозяйства Приморского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"Магистраль" (подробнее) Ответчики: Министерство транспорта и дорожного хозяйства Приморского края (подробнее) Иные лица: Арбитражный суд Дальневосточного округа (подробнее) Арбитражный суд Приморского края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