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являлись предметом рассмотрения судов трех инстанций и направлены на переоценку установленных ими обстоятельств. Приведенные доводы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