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 ноября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Оценка доводов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Иное толкование заявителем жалобы норм материального права не свидетельствует о неправильном применении их судами с учетом 2 установленных обстоятельств дела. Руководствуясь статьями 2916, 2918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«Мясо-Опт»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М.К.Антонова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