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Несогласие с выводами судов, вытекающее из доводов кассационной жалобы, в силу статьи 29114 Арбитражного процессуального кодекса 2 Российской Федерации не может являться основанием для пересмотра судебных актов Судебной коллегией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«Магнит»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