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28.01.2022, оставленным без изменения постановлением Седьмого арбитражного апелляционного суда от 14.04.2022 и постановлением Арбитражного суда Западно-Сибирского округа от 01.07.2022, иск удовлетворен. В кассационной жалобе общество «Чермет» просит об отмене судебных актов, ссылаясь на неправильную квалификацию правоотношений, прекращение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обязали ответчика оплатить фактически оказанные услуги в силу статей 779, 781 Гражданского кодекса Российской Федерации. Требуемая переоценка установленных обстоятельств исполнения обязательств не создает оснований для пересмотра судебных актов Верховным Судом Российской Федерации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«Чермет»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