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15.11.2021, оставленным без изменения постановлением Двадцать первого арбитражного апелляционного суда от 09.02.2022 и постановлением Арбитражного суда Уральского округа от 06.07.2022, в удовлетворении заявления отказано. В кассационных жалобах заявители просят об отмене судебных актов, ссылаясь на неправильное применение норм материального права,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Установив непопадание сделки под основания недействительности, предусмотренные законодательством о банкротстве, и необоснованность управляющим наличия выходящих за пределы названных оснований пороков, суды правомерно отказали в признании сделки недействительной в силу статей 10, 168, 170 Гражданского кодекса Российской Федерации. Доводы кассационных жалоб не подтверждают нарушения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Масляеву Ивану Алексеевичу, финансовому управляющему Пьеро Александру Игоревичу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