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07.02.2022 заявление кредитора признано обоснованным, в отношении должника введена процедура реструктуризации долгов, требование банка в размере 11 955 839 рублей 06 копеек задолженности, 7 351 858 рублей 34 копеек процентов за пользование кредитными денежными средствами, 66 707 318 рублей 13 копеек неустойки за просрочку возврата долга, 20 626 073 рублей 75 копеек неустойки за просрочку уплаты процентов, 125 000 рублей комиссии за выдачу кредита включены в третью очередь реестра. Девятый арбитражный апелляционный суд постановлением от 29.04.2022 изменил определение от 07.02.2022: включил в третью очередь реестра требование банка в размере 11 955 839 рублей 06 копеек задолженности, 5 097 118 рублей 12 копеек процентов за пользование кредитными денежными средствами, 3 500 000 рублей неустойки за просрочку возврата задолженности, 1 500 000 рублей неустойки за просрочку уплаты процентов и 125 000 рублей комиссии за выдачу кредита. Арбитражный суд Московского округа постановлением от 11.08.2022 постановление апелляционного суда от 29.04.2022 оставил без изменения. 2 В кассационной жалобе Лысенко С.В. просит об отмене судебных актов, ссылаясь на неосновательное отклонение довода о ненадлежащей кандидатуре финансового управляющего.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признали необоснование должником несоответствия кандидатуры финансового управляющего требованиям закона и определенным судебной практикой критериям.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Лысенко С.В.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