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05.03.2022, оставленным без изменения постановлением Десятого арбитражного апелляционного суда от 27.05.2022 и постановлением Арбитражного суда Московского округа от 17.08.2022, заявление удовлетворено. В кассационной жалобе Ильюк В.В. просит об отмене судебных актов, ссылаясь на рассмотрение спора в отсутствие должника, игнорирование моратория на банкротство. Кассационная жалоба в части обжалования определения Арбитражного суда Московской области от 25.09.2019 подана с нарушением подсудности, установленной частью 1 статьи 291.1 Арбитражного процессуального кодекса Российской Федерации, поэтому в силу пункта 5 части 1 статьи 291.5 этого Кодекса в указанной части жалоба не подлежит рассмотрению по существу.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учитывая возражения должника, признали требование обоснованным и соответствующим статьям 71, 100 Федерального закона от 26.10.2002 № 127-ФЗ «О несостоятельности (банкротстве)». Рассмотрение заявления в отсутствие извещенного, но не явившегося в заседание должника не отнесено к процессуальному нарушению. Нарушение срока рассмотрения заявлений и ходатайств должника не влияет на существо принятых судебных актов. Дело о банкротстве должника возбуждено до ведения моратория.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Ильюку Владимиру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