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30.11.2021, оставленным без изменения постановлением Седьмого арбитражного апелляционного суда от 11.03.2022 и постановлением Арбитражного суда Западно-Сибирского округа от 01.07.2022, требование Кулешова В.Н. в размере 12 000 808 рублей 44 копеек основного долга и 6 000 000 рублей неустойки включено в третью очередь реестра. В кассационной жалобе Зейналов С.А. просит об отмене судебных актов, ссылаясь на принятие ненадлежащего доказательства наличия займа.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Для проверки довода кредитора о фальсификации договора займа, являющегося основанием требования, назначалась экспертиза, заключение которой оценено судами по правилам об оценке доказательств. Вопросы доказывания и оценки доказательств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Зейналову С.А.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