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29.10.2022 обратился в Верховный Суд Российской Федерации с жалобой на определение судьи Верховного Суда Российской Федерации от 28.09.2022 № 305-ЭС22-15370, решение Арбитражного суда города Москвы от 25.11.2021, постановление Девятого арбитражного апелляционного суда от 08.02.2022 и постановление Арбитражного суда Московского округа от 01.06.2022 по делу № А40-194888/2021,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 05.10.2022.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«Спортивное оборудование для уличной игры» о восстановлении пропущенного процессуального срока отказать. Жалобу возвратить заявителю. Судья Верховного Суда А.Г. 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