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20.10.2021, оставленным без изменения постановлением Первого арбитражного апелляционного суда от 09.02.2022 и постановлением Арбитражного суда Волго-Вятского округа от 27.04.2022, процедура реализации имущества гражданина завершена без применения в отношении должника правил об освобождении от дальнейшего исполнения обязательств перед обществом с ограниченной ответственностью «Агентство по возврату долгов». В кассационной жалобе ФИО1 просит об отмене судебных актов, ссылаясь на несоответствие вывода судов о его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процедурах банкротства и установили его действия,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"Краснодарская межрегиональная саморегулируемая организация арбитражных управляющих "Единство" (подробнее) ГУ УПФ РФ по НО (подробнее) ИФНС по Ленинскому району г.Н.Новгорода (подробнее) УГИБДД по НО (подробнее) Управление Росреестра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