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03.11.2021, оставленным без изменения постановлением Восемнадцатого арбитражного апелляционного суда от 07.04.2022 и постановлением Арбитражного суда Уральского округа от 08.07.2022, заявление кредитора признано обоснованным, в отношении должника введена процедура реструктуризации долгов, требование кредитора в размере 1 439 241 рубля 97 копеек включено в третью очередь реестра как обеспеченное залогом недвижимого имущества. В кассационной жалобе Орлов Д.В. просит об отмене судебных актов, ссылаясь на игнорирование судами актов суда общей юрисдикции.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Требования кредитора, основанное на договоре займа, проверено судами на соответствие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Залоговые права кредитора в отношении квартиры признаны возникшими в силу закона и в установленном порядке зарегистрированными.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Орлову Д.В.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