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29.11.2021, оставленным без изменения постановлением Девятого арбитражного апелляционного суда от 20.04.2022 и постановлением Арбитражного суда Московского округа от 27.07.2022, в удовлетворении заявления отказано. В кассационной жалобе Аргунов Д.В. просит об отмене судебных актов как незаконных.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Суды, учитывая проверку судом общей юрисдикции оспариваемого соглашения, и неустановление условий для его недействительности, отказали в удовлетворении заявления в силу статьи 168 Гражданского кодекса Российской Федерации, статей 16, 69 Арбитражного процессуального кодекса Российской Федерации. Приведенные доводы не создают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Аргунову Дмитрию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