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16.03.2022, оставленным без изменения постановлением Восьмого арбитражного апелляционного суда от 31.05.2022 и постановлением Арбитражного суда Западно-Сибирского округа от 27.07.2022, заявление удовлетворено. В кассационной жалобе Кучина Н.А. просит об отмене судебных актов, ссылаясь на отсутствие надлежащих доказательств расходования заемных денежных средств на нужды семьи, пропуск заявителем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исходили из установленной в силу статей 35, 45 Семейного кодекса Российской Федерации и не опровергнутой презумпции расходования денежных средств на нужды семьи, поэтому признали Кучину Н.А. обязанной в отношении спорного долга наряду с бывшим супругом. Доводы рассматриваемой кассационной жалобы повторяют доводы, заявленные судам, получили правовую оценку. Требуемая переоценка установленных судами обязательств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Кучиной Наталье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