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Восточно-Сибирского округа от 29.04.2022, оставленным без изменения определением того же суда от 29.06.2022, жалоба Балауса С.В. на определение Арбитражного суда Красноярского края от 07.10.2021 и постановление Третьего арбитражного апелляционного суда от 26.01.2022 возвращена в связи с пропуском срока подачи и отказом в восстановлении срока. В кассационной жалобе Балаус С.В. просит отменить судебные акты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Балаусу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