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28.12.2021, оставленным без изменения постановлением Девятого арбитражного апелляционного суда от 08.04.2022 и постановлением Арбитражного суда Московского округа от 06.07.2022, в удовлетворении заявления отказано. В кассационной жалобе Скрынник А.Г. просит об отмене судебных актов, ссылаясь на неправильную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недоказанность управляющим условий для недействительности сделок как по основаниям, предусмотренным законодательством о банкротстве, так и в силу общегражданских оснований. Вопросы доказывания и оценки доказательств не относятся к основаниям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Скрыннику Алексею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