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26.10.2022 обратился в Верховный Суд Российской Федерации с жалобой на определение судьи Верховного Суда Российской Федерации от 19.09.2022 № 301-ЭС22-15659, решение Арбитражного суда Нижегородской области от 14.10.2021, постановление Первого арбитражного апелляционного суда от 23.12.2021 и постановление Арбитражного суда Волго-Вятского округа от 06.06.2022 по делу № А43-23669/2021,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2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указанного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 12.10.2022.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- возвратить заявителю. Руководствуясь статьями 117,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общества с ограниченной ответственностью «Кастом Инжиниринг» о восстановлении пропущенного процессуального срока отказать. Жалобу возвратить заявителю.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