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целом доводы кассационной жалобы направлены на переоценку доказательств и установление иных обстоятельств по делу, отличных от установленных судами, что не входит в полномочия кассационной инстанции Верховного Суда Российской Федерации.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«Совкомбанк страхование»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Ю.Г. Иваненко Суд: Верховный Суд РФ (подробнее) Истцы: АО ЛИБЕРТИ СТРАХОВАНИЕ (подробнее) Ответчики: ООО "АЛЬФА ТРАНС ТЕРМИНАЛ" (подробнее) Иные лица: АО "Совкомбанк Страхование" (подробнее) ООО "Страховая компания "Арсеналъ"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