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после отмены ранее состоявшихся судебных актов определением Арбитражного суда Республики Алтай от 02.02.2022, оставленным без изменения постановлением Седьмого арбитражного апелляционного суда от 28.04.2022 и постановлением Арбитражного суда Западно-Сибирского округа от 13.07.2022, заявление удовлетворено. В кассационной жалобе Курасов В.В. просит об отмене судебных актов, ссылаясь на ненадлежащие оценку обстоятельств заключения сделки и примененные последствия ее недействительности.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совершение сделки с имуществом, подлежащим включению в конкурсную массу, в период ведения в отношении должника процедур банкротства с целью вывода имущества из под взыскания по долгам, нарушающее статью 213.25 Федерального закона от 26.10.2002 № 127-ФЗ «О несостоятельности (банкротстве)», статьи 10, 168, 174.1 Гражданского кодекса Российской Федерации, и применили последствия, соответствующие обстоятельствам исполнения сделки. Доводы кассационной жалобы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Курасову Владимиру Валентиновичу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