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Курской области от 28.01.2022, оставленным без изменения постановлением Девятнадцатого арбитражного апелляционного суда от 07.06.2022, заявление удовлетворено. Постановлением Арбитражного суда Центрального округа от 11.08.2022, определение и постановление апелляционного суда отменены, спор направлен на новое рассмотрение в суд первой инстанции. В кассационной жалобе общество просит отменить постановление окружного суда как принятое с превышением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кассационной инстанции, признав необходимость нового рассмотрения дела для установления не исследованных судами нижестоящих инстанций обстоятельств, имеющих значение для правильного разрешения спора, действовал в пределах полномочий, предоставленных статьями 286 - 288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«Сервис»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