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11.02.2022, оставленным без изменения постановлением Второго арбитражного апелляционного суда от 28.04.2022 и постановлением Арбитражного суда Волго-Вятского округа от 01.08.2022,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