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24.11.2021 первоначальные исковые требования удовлетворены, в удовлетворении встречного иска отказано. Постановлением Девятого арбитражного апелляционного суда от 23.03.2022 решение суда первой инстанции отменено в части, в удовлетворении первоначальных исковых требований и в удовлетворении встречных исковых требований отказано. Постановлением Арбитражного суда Московского округа от 11.07.2022 решение суда первой инстанции в неотмененной части и постановление суда апелляционной инстанции отменены в части отказа в удовлетворении встречного иска, с общества в пользу компании взыскано 2 1 009 000 руб. неосновательного обогащения; в остальной части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постановления от 23.03.2022, от 11.07.2022 и направить дело на новое рассмотрение в Девятый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отказывая в удовлетворении первоначальных исковых требований,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711, 720, 740, 743, 746 Гражданского кодекса Российской Федерации, исходил из того, что у компании (подрядчик) не возникла обязанность по оплате спорных работ, поскольку они не были согласованы сторонами, не указаны в договоре и не поручались обществу (субподрядчик) со стороны подрядчика; стоимость данных работ завышена по сравнению с ценой договора. Указав на отсутствие доказательств неосновательного обогащения на стороне общества, суд отказал в удовлетворении встречного иска. Проверяя законность судебных актов, суд округа согласился с выводами апелляционного суда в части отказа в удовлетворении первоначальных исковых требований. Вместе с тем, принимая во внимание установленные судами первой и апелляционной инстанций обстоятельства (односторонний отказ компании от исполнения договора, сумму полученного обществом аванса и стоимость выполненных последним работ), руководствуясь статьями 450, 450.1, 453, 1102 Гражданского кодекса Российской Федерации, окружной суд отменил судебные акты названных судов в части отказа во взыскании с общества 1 009 000 руб. неосновательного обогащения, удовлетворив встречные требования в указанной части.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3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«Газстройэнерго»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