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Архангельской области от 15.03.2022, оставленным без изменения постановлением Четырнадцатого арбитражного апелляционного суда от 20.05.2022 и постановлением Арбитражного суда Северо-Западного округа от 15.08.2022, процедура реализации имущества гражданина завершена без применения в отношении должника правил об освобождении от дальнейшего исполнения обязательств. В кассационной жалобе Райманов Р.Э. просит об отмене судебных актов, ссылаясь на несоответствие вывода судов о его недобросовестности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По итогу исследования обстоятельств образования спорной задолженности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исполнения обязательств перед кредиторами. Иная оценка должником своего поведения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Райманову Руслану Эльдаровичу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