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05.10.2021 взыскано 2 449 528 рублей 66 копеек задолженности, 75 251 рубль 48 копеек неустойки, неустойка в размере 1/300 ставки рефинансирования Центрального Банка Российской Федерации на день фактической оплаты от суммы основного долга в соответствующие периоды за каждый календарный день просрочки с 21.07.2021 по день фактической оплаты долга. Восьмой арбитражный апелляционный суд постановлением от 11.04.2022 изменил решение от 05.10.2021: взыскал 2 423 492 рубля 93 копеек задолженности, 75 251 рубль 48 копеек неустойки, неустойку в размере 1/300 ставки рефинансирования Центрального Банка Российской Федерации на день фактической оплаты от суммы основного долга в соответствующие периоды за каждый календарный день просрочки. 2 Арбитражный суд Западно-Сибирского округа постановлением от 14.07.2022 постановление апелляционного суда от 11.04.2022 оставил без изменения. В кассационной жалобе автопредприятие просит об отмене судебных актов, ссылаясь на незаконное вменение оплаты не оказанных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Требуемое изменение оценки исследованных и установленных обстоятельств исполнения договора от 31.10.2018 № 01 не создает названных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«Ишимское пассажирское автотранспортное предприятие»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