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03.02.2022, оставленным без изменения постановлением Девятого арбитражного апелляционного суда от 28.04.2022 и постановлением Арбитражного суда Московского округа от 20.07.2022, Положение утверждено в редакции финансового управляющего. В кассационной жалобе Сенелис И.И. просит об отмене судебных актов, ссылаясь на неправильную оценку продаваемой доли.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Довод третьего лица о необходимости реализации доли по номинальной цене правильно признан противоречащим целям процедур банкротства.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Сенелису И.И.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