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15.11.2021, оставленным без изменения постановлением Пятнадцатого арбитражного апелляционного суда от 07.04.2022 и постановлением Арбитражного суда Северо-Кавказского округа от 24.06.2022, заявление удовлетворено в части включения в реестр требования в размере 13 000 рублей. В кассационной жалобе Гоголь Д.О. просит об отмене судебных актов, ссылаясь на необоснованность выводов о наличии заемного обязательства и размере задолженности, отсутствие согласия на уступку требования и неуведомление о состоявшемся переходе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Требование, основанное на договоре займа, проверено судами на соответствие критериям статей 71, 100 Федерального закона от 26.10.2002 № 127-ФЗ «О несостоятельности (банкротстве)» и пункту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банкротстве». Замена кредитора в данном случае признана не влекущей нарушения прав должника и не слагающей с него обязанности по уплате долга.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Гоголь Д.О.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