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пунктом 4 части 1 статьи 2915 кассационная жалоба возвращается без рассмотрения по существу, если поступило ходатайство о ее возвращении без рассмотрения по существу. При рассмотрении данного ходатайства по правилам статьи 2915 Арбитражного процессуального кодекса Российской Федерации установлено, что имеются основания для его удовлетворения и возвращения кассационной жалобы без рассмотрения по существу. Руководствуясь статьями 184, 185, 2915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«Мехуборка СПб» удовлетворить, возвратить кассационную жалобу без рассмотрения по существу.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