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01.12.2021, оставленным без изменения постановлением Тринадцатого арбитражного апелляционного суда от 15.03.2022 и постановлением Арбитражного суда Северо-Западного округа от 30.06.2022, заявление удовлетворено. В кассационной жалобе акционерное общество «Инжторгстрой» просит об отмене судебных актов, ссылаясь на недобросовестность сторон сделки, на которой основано правопреемство.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состоявшийся переход прав от первоначального кредитора к новому, поэтому произвели замену истца в соответствии со статьей 48 Арбитражного процессуального кодекса Российской Федерации и статьями 382, 384 Гражданского кодекса Российской Федерации и их судебным толкованием. Возражения против замены, изложенные в жалобе, были предметом рассмотрения и оценки судов и не опровергают их выводов.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«Инжторгстрой»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