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материального права не свидетельствует о неправильном применении их судами с учетом 2 установленных фактических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Болгову Александру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