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 целом доводы кассационной жалобы направлены на переоценку доказательств и установление иных обстоятельств по делу, отличных от 2 установленных судами, что не входит в полномочия кассационной инстанции Верховного Суда Российской Федерации.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«Агросоюз»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