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«Научно-производственное объединение «Нефтехимпроект» (далее – Общество) обратилось в Арбитражный суд Ставропольского края с иском к обществу с ограниченной ответственностью «Бутан» (далее – Компания) о взыскании 9 954 000 рублей убытков. Решением Арбитражного суда Ставропольского края от 27.12.2021, оставленным без изменения постановлением Шестнадцатого арбитражного апелляционного суда от 16.03.2022 и постановлением Арбитражного суда Северо- Кавказского округа 29.06.2022,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отсутствие у директора Компании Арыстанбекова И.А. полномочий на заключение договора на переработку давальческого сырья от 13.10.2020 и договора хранения от 04.12.2020, названное физическое лицо в тот период не являлось руководителем ответчика, 2 что подтверждено решениями единого участника от 05.10.2020, 15.12.2020, 23.04.2021.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Обществом (заказчик) и Компанией (исполнитель) заключен договор на переработку давальческого сырья от 13.10.2020 № 8/20. По условиям названного договора заказчик предоставляет исполнителю для переработки углеводородное (давальческое) сырье, принадлежащее на праве собственности заказчику. Также между Обществом (поклажедатель) и Компанией (хранитель) заключен договор хранения нефтепродуктов от 04.12.2020. По условиям договора готовые нефтепродукты, принадлежащие поклажедателю, передаются на хранение хранителю до момента передачи их заказчику или лицу, указанному заказчиком в качестве получателя. Компания обязалась обеспечить сохранность нефтепродуктов с даты принятия их на хранение до даты передачи с хранения заказчику (получателю). Всю ответственность за несохранность нефтепродуктов несет хранитель, возмещая поклажедателю убытки в размере обнаруженной недостачи. По акту приема-передачи от 04.12.2020 на хранение приняты следующие нефтепродукты: растворитель нефтяной Уайт-Спирит в количестве 104 тонн, смесь углеводородная автоматическая в количестве 142 тонн, ИФО в количестве 59,7 тонн на общую сумму 9 954 700 рублей. В связи с невозвращением нефтепродуктов с хранения Общество направило Компании претензию, неисполнение которой послужило основанием для обращения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52, 53, 182, 421, 393, 886, 889, 900, 901, 902 Гражданского кодекса Российской Федерации, разъяснениями, изложенными в пунктах 11,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(далее – Постановление № 25), суды удовлетворили заявленные требования, взыскали убытки в размере утраченного имущества, установив, что Компания не возвратила Обществу товар, переданный на хранение. 3 Отклоняя довод заявителя о том, что Арыстанбеков И.А. заключил названные сделки не от имени Компании, а в своих личных интересах и от своего имени, судебные инстанции указали, что ответчиком документально не подтверждено, что сведения о Арыстанбекове И.А. как о директоре Компании отсутствовали в Едином государственном реестре юридических лиц (далее – ЕГРЮЛ) в период заключения сделок (либо в ЕГРЮЛ в этот период содержались сведения об ином руководителе ответчика). Отсутствие соответствующих сведений в реестре создает гражданские права и обязанности для Компании с момента совершения указанных сделок (пункт 122 Постановления № 25).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«Бутан»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