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Самарской области от 11.01.2022, оставленным без изменения постановлением Одиннадцатого арбитражного апелляционного суда от 07.04.2022 и постановлением Арбитражного суда Поволжского округа от 21.07.2022, заявление удовлетворено. В кассационной жалобе Сафронов А.В. просит об отмене судебных актов, ссылаясь на незаконность требования и игнорирование недобросовестного поведения должника.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право должника на пользование заложенным имуществом возникает из договора залога, поэтому правомерно ими защищено. Довод о недобросовестности должника оценен судом округа и мотивированно отклонен.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Сафронову А.В.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