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Брянской области от 30.07.2021 заявление кредитора признано обоснованным, в отношении должника введена процедура реструктуризации долгов, требование кредитора в размере 9 442 372 рублей включено в третью очередь реестра. Двадцатый арбитражный апелляционный суд постановлением от 03.03.2022 изменил определение от 30.07.2021 в части, включив в третью очередь реестра требование в размере 8 688 066 рублей 40 копеек. Арбитражный суд Центрального округа постановлением от 29.06.2022 постановление апелляционного суда от 03.03.2022 оставил без изменения. В кассационной жалобе Морозов О.О. просит об отмене судебных актов в отношении требования о неустойке, ссылаясь на игнорирование заявления о ее уменьшении.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об игнорировании нижестоящими судами заявления об уменьшении неустойки отклонен окружным судом с обоснованием, соответствующим статье 333 Гражданского кодекса Российской Федерации и ее судебным применением.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Морозову О.О.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