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направлены на переоценку установленных судами обстоятельств,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Судебные инстанции исходили из доказанности инспекцией обстоятельств, свидетельствующих о создании обществом формального документооборота, направленного на получение необоснованной налоговой выгоды, отметив, что приобретенные комбайны проходческие и машины буропогрузочные были полностью укомплектованы заводами-изготовителями, в том числе запасными частями и принадлежностями. Дополнительных расходов на приобретение запасных частей и комплектующих общество не осуществляло, в связи с чем оснований для проведения налоговой реконструкции не имеется.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"Промтехсервис" (подробнее) Ответчики: Инспекция Федеральной налоговой службы по г. Кемерово (подробнее) Иные лица: Межрайонная ИФНС №15 России по Кемеровской обл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