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17.03.2022, оставленным без изменения постановлением Девятого арбитражного апелляционного суда от 25.05.2022, исковые требования удовлетворены. Постановлением Арбитражного суда Московского округа от 24.08.2022 решение суда первой инстанции и постановление апелляционного суда отменены в части выводов о взыскании пени, в указанной части дело направлено на новое рассмотрение в суд первой инстанции. В остальной части судебные акты оставлены без изменения. Удовлетворяя исковое требование учреждения о взыскании с общества 10 000 рублей штрафа,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исходили из доказанности истцом обстоятельств непредставления обществом документов при приемке товара, что является основанием для привлечения последнего к ответственности, предусмотренной пунктом 9.13 контракта за каждый факт ненадлежащего исполнения поставщиком обязательств, не имеющих 2 стоимостного выражения. Суд округа поддержал выводы судов первой и апелляционной инстанций. Отменяя судебные акты в части взыскания с общества пени, суд округа указал, что при рассмотрении дела судами не дана оценка доводам общества о соблюдении срока поставки товара.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проверить доводы сторон.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изложенные в жалобах, в том числе довод общества о наличии оснований для списания неустойки на основании Постановления Правительства РФ от 04.07.2018 № 783 «Об осуществлении заказчиком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в 2015, 2016 и 2020 годах обязательств, предусмотренных контрактом», являлись предметом рассмотрения судов и получили надлежащую правовую оценку. Приведенные доводы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«Уралторгсервис» и Федеральному казенному учреждению «Центральное окружное управление материально-технического снабжения Министерства внутренних дел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