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Бюджетного кодекса Российской Федерации, Правилами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утвержденными постановлением Правительства Российской Федерации от 16.05.2020 № 696 (далее - Правила), пришли к выводу о несоблюдении обществом условий кредитного соглашения. Суды указали, что данные обстоятельства обоснованно послужили основанием для принятия публичным акционерным обществом «Банк ВТБ» (далее - банк) оспариваемого решения, не усмотрев оснований для взыскания с банка уплаченных обществом 8 427 321 рубля 69 копеек. 2 Отказывая в удовлетворении требования к Министерству экономического развития Российской Федерации, суды отметили, что обществом избран ненадлежащий способ защиты, который не приведет в данном случае к восстановлению его нарушенных прав. Кроме того, суды не установили оснований для возложения на Федеральную налоговую службу обязанности по внесению уточненных сведений в информационный сервис, поскольку Правилами такая обязанность не предусмотрена. Доводы кассационной жалобы направлены на переоценку установленных судами обстоятельств,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«Оптовый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