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 с иными фактическими обстоятельствами,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Удовлетворяя иск администрации Мартыновского района Ростовской области (далее - администрация), суд первой инстанции, с решением которого согласились суды апелляционной инстанции и округа, исходил из установленных фактических обстоятельств, указав, что администрацией перечислены в областной бюджет именно штрафные санкции, уплаченные за счет средств местного бюджета и предусмотренные на денежные взыскания (штрафы) за нарушение условий договоров (соглашений) о предоставлении субсидий бюджетам муниципальных образований из бюджета субъекта Российской Федерации. При этом суды отметили, что данные денежные средства не являются средствами областного бюджета, выделенными на строительство детского сада; обстоятельства ненадлежащего исполнения подрядчиком обязательств по контракту установлены судебными актами по делу № А53-29206/2019.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Мартыновского района (подробнее) Администрация Мартыновского района Ро (подробнее) Ответчики: ПАО Межрегиональный коммерческий банк развития связи и информатики (подробнее) ПАО "Промсвязьбанк" (подробнее) Иные лица: ОАО "Промсвязьбанк"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