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28 октября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банкротстве должника Пахомова Ю.Л. обратилась в суд с заявлением о дополнительном включении в третью очередь реестра требований кредиторов должника (далее – реестр) её требований в размере 689 925 рублей 26 копеек убытков и 656 901 рубля процентов за пользование чужими денежными средствами. Определением Арбитражного суда Волгоградской области от 13.01.2022, оставленным без изменения постановлениями Четырнадцатого арбитражного апелляционного суда от 21.03.2022 и Арбитражного суда Северо-Западного округа от 08.06.2022, отказано в удовлетворении заявления. В кассационной жалобе, поданной в Верховный Суд Российской Федерации, заявитель просит отменить указанные судебные акты и принять новый судебный акт. По смыслу части 1 статьи 291.1, части 7 статьи 291.6,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2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Между тем по результатам изучения состоявшихся по делу судебных актов и доводов кассационной жалобы таких оснований не установлено. Разрешая спор, суды, руководствуясь положениями пункта 1 статьи 126 и пункта 2 статьи 201.5 Федерального закона от 26.10.2002 № 127-ФЗ «О несостоятельности (банкротстве)», исходили из отсутствия оснований для удовлетворения требований по заявленным основаниям, признав, в частности, отсутствие оснований для изменения размера убытков, понесённых Окуневой С.А. и уже включённых в реестр. Выводы судов соответствуют нормам права, оснований для переоценки этих выводов по доводам жалобы не имеется. Нарушений норм материального права, а также норм процессуального права, влекущих за собой безусловную отмену указанных судебных актов, судами не допущено. Основания для передачи кассационной жалобы на рассмотрение в судебном заседании Судебной коллегии Верховного Суда Российской Федерации отсутствуют. На основании изложенного и руководствуясь статьями 291.6,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Окуневой Светлане Андреевне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Е.С. Корнелюк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