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октября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города Москвы от 28.05.2021 отказано в удовлетворении заявления о признании недействительной сделкой перечисления денежных средств с расчётного счёта должника в пользу общества с ограниченной ответственностью «ГРУППА БРИНЭКС» в размере 2 528 700 рублей и применении последствий недействительности сделки. Стручков Е.А. обратился в апелляционный суд с жалобой на указанное определение суда от 28.05.2022, ходатайствуя о восстановлении пропущенного срока подачи жалобы. Определением Девятого арбитражного апелляционного суда от 17.04.2022, оставленным без изменения постановлением Арбитражного суда Московского округа от 12.07.2022, прекращено производство по жалобе. В кассационной жалобе, поданной в Верховный Суд Российской Федерации, заявитель просит отменить указанные определение суда первой инстанции от 28.05.2021, определение апелляционного суда от 17.04.2022 и постановление суда округа от 12.07.2022. Письмом Верховного Суда Российской Федерации от 20.09.2022 № 305-ЭС22-10721 настоящая кассационная жалоба заявителя в части обжалования определения суда первой инстанции от 28.05.2022 возвращена 2 без рассмотрения на основании пункта 5 части 1 статьи 291.5 Арбитражного процессуального кодекса Российской Федерации, как поданная с нарушением правил подсудности, установленных частью 2 статьи 291.1 Арбитражного процессуального кодекса Российской Федерации.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Прекращая производство по жалобе, апелляционный суд, руководствуясь положениями статей 42 и 150 Арбитражного процессуального кодекса Российской Федерации, пришёл к выводу об отсутствии у Стручкова Е.А. права на обжалование указанного определения суда первой инстанции. Проверяя обоснованность прекращения производства по апелляционной жалобе, суд округа не установил нарушений норм процессуального права и согласился с выводами апелляционного суда, обоснованно отклонив доводы заявителя.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указанных судебных актов, судами не допущено.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Стручкову Евгению Александровичу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