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08.10.2021, оставленным без изменения постановлением Четвертого арбитражного апелляционного суда от 05.03.2022 и постановлением Арбитражного суда Восточно-Сибирского округа от 04.07.2022, иск удовлетворен.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неисполнения обществом обязанности по перечислению компании спорных денежных средств, суды первой и апелляционной инстанций пришли к выводу об удовлетворении иска, с чем впоследствии согласился суд округа. Доводы кассационной жалобы не свидетельствуют о существенном нарушении судами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«Читаэнергосбыт»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