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Белгородской области от 02.12.2021, оставленным без изменения постановлением Девятнадцатого арбитражного апелляционного суда от 18.02.2022 и постановлением Арбитражного суда Центрального округа от 05.07.2022, с общества в пользу компании взыскано 16 368 140 руб. 14 коп. долга за оказанные услуги за июнь, июль, август 2020 года, в удовлетворении остальной части исковых требований отказано. В кассационной жалобе, поданной в Верховный Суд Российской Федерации, общество, выражая несогласие с указанными судебными актами 2 в части удовлетворения исковых требований, просит их отменить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состоявшихся по делу судебных актов и доводов кассационной жалобы не установлено. Разрешая спор и частично удовлетворяя исковые требования, суды руководствовались статьями 309, 310, 779, 781 Гражданского кодекса Российской Федерации, положениями Федерального закона от 24.06.1998 № 89-ФЗ «Об отходах производства и потребления», Правил коммерческого учета объема и (или) массы твердых коммунальных отходов, утвержденных постановлением Правительства Российской Федерации от 03.06.2016 № 505, Правил обращения с твердыми коммунальными отходами, утвержденных постановлением Правительства Российской Федерации от 12.11.2016 № 1156, и исходили из доказанности факта ненадлежащего исполнения обществом обязанности по оплате услуг, оказанных компанией в спорный период. Доводы кассационной жалобы не свидетельствуют о существенном нарушении судами норм материального и процессуального права, повлиявших на исход дела, по существу направлены на переоценку установленных фактических обстоятельств дела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«Центр Экологической Безопасности» Белгородской области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