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капитального ремонта многоквартирных домов города Москвы (далее – Фонд) обратился в Арбитражный суд города Москвы с исковым заявлением к обществу с ограниченной ответственностью «Дом 51» (далее – Общество) о взыскании 819 341 рубля 11 копеек задолженности. В свою очередь, Общество заявило встречное требование о взыскании 1 969 079 рублей 08 копеек неосновательного обогащения. Решением Арбитражного суда города Москвы от 22.11.2021, оставленным без изменения постановлением Девятого арбитражного апелляционного суда от 16.03.2022 и постановлением Арбитражного суда Московского округа от 04.08.2022, в удовлетворении первоначального иска отказано, встречное требование удовлетворено.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2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04.08.2022, тогда как кассационная жалоба была подана 21.10.2022,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Фондом не приведено причин в обоснование ходатайства о восстановлении процессуального срока. Кроме того, как следует из обжалуемых актов, Фонд являлся инициатором кассационного обжалования, его представитель присутствовал в судебном заседании суда округа на рассмотрении кассационной жалобы; из информации, размещенной в Картотеке арбитражных дел в сети Интернет, следует, что полный текст постановления от 04.08.2022 опубликован в общедоступной базе судебных актов 05.08.2022. Таким образом, заявитель имел реальную возможность в установленный законом срок подготовить и направить жалобу в адрес Верховного Суда Российской Федерации. 3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Фонда капитального ремонта многоквартирных домов города Москвы о восстановлении пропущенного процессуального срока. Кассационную жалобу на решение Арбитражного суда города Москвы от 22.11.2021, постановление Девятого арбитражного апелляционного суда от 16.03.2022 и постановление Арбитражного суда Московского округа от 04.08.2022 по делу № А40-73936/2021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