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13.01.2022, оставленным без изменения постановлением Девятого арбитражного апелляционного суда от 25.03.2022 и постановлением Арбитражного суда Московского округа от 07.06.2022,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запросу судьи Верховного Суда Российской Федерации от 05.09.2022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2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заключенного сторонами договора, не установив оснований для возложения на ответчика ответственности в виде взыскания заявленных убытков, руководствуясь статьями 15, 393 Гражданского кодекса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отказали в удовлетворении иска, с чем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«Росагролизинг»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