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08.02.2022, оставленным без изменения постановлением Девятого арбитражного апелляционного суда от 18.04.2022 и постановлением Арбитражного суда Московского округа от 02.08.2022, исковые требования удовлетворены частично, с общества с пользу компании взыскано 7 100 000 руб. задолженности, 500 000 руб. неустойки, а также неустойка за каждый день просрочки, начиная с 01.10.2021 по дату фактического погашения суммы задолженности. Не согласившись с принятыми по делу судебными актами, общество обратилось с кассационной жалобой в Верховный Суд Российской Федерации, ссылаясь на наличие оснований для их обжалования в порядке 2 статьи 291.1 Арбитражного процессуального кодекса Российской Федерации (далее – АПК РФ). Изучив изложенные в кассационной жалобе доводы и принятые по делу судебные акты, судья Верховного Суда Российской Федерации приходит к выводу об отсутствии оснований, предусмотренных пунктом 1 части 7 статьи 291.6 АПК РФ,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Исследовав и оценив представленные в материалы дела доказательства по правилам статьи 71 АПК РФ, установив факт выполнения компанией спорных работ, отсутствие мотивированного отказа общества от их приемки и нарушение последним сроков оплаты, руководствуясь статьями 309, 310, 330, 702, 711, 717, 720, 721, 723, 753 Гражданского кодекса Российской Федерации, суды первой и апелляционной инстанций, с которыми впоследствии согласился суд округа, удовлетворили исковые требования в части с учетом применения положений статьи 333 Гражданского кодекса Российской Федерации.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«Маркс Инжиниринг»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