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20.12.2021, оставленным без изменения постановлением Двадцать первого арбитражного апелляционного суда от 30.03.2022, иск удовлетворен. Постановлением Арбитражного суда Центрального округа от 18.07.2022 решение суда первой инстанции и постановление суда апелляционной инстанции отменены, дело направлено на новое рассмотрение в Арбитражный суд Республики Крым. Не согласившись с постановлением суда округа, общество обратилось с кассационной жалобой в Верховный Суд Российской Федерации, ссылаясь на наличие оснований для его обжалования в порядке статьи 291.1 Арбитражного процессуального кодекса Российской Федерации (далее – АПК РФ). Изучив изложенные в кассационной жалобе доводы и обжалуемый судебный акт, судья Верховного Суда Российской Федерации приходит к выводу об отсутствии оснований, предусмотренных пунктом 1 части 7 статьи 2 291.6 АПК РФ,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Отменяя решение суда первой инстанции, постановление суда апелляционной инстанции и направляя дело на новое рассмотрение, суд округа исходил из того, что суды не исследовали все обстоятельства, имеющие существенное значение для правильного разрешения спора. Обжалуемое постановление принято судом округа в пределах полномочий, определенных в статье 287 АПК РФ.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«Симферопольская кондитерская фабрика»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