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Московской области от 06.10.2021, оставленным без изменения постановлением Десятого арбитражного апелляционного суда от 26.01.2022 и постановлением Арбитражного суда Московского округа от 13.05.2022, денежные средства признаны подлежащими распределению в предложенном финансовым управляющим порядке. В кассационной жалобе учреждение просит об отмене судебных актов, ссылаясь на незаконную поддержку судами предложения финансового управляющего о направлении 19 601 рубля из вырученных от продажи имущества должника денежных средств на приоритетное по отношению к причитающемуся учреждению основному долгу погашение пеней другому кредитору.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При определении прав залоговых кредиторов на причитающиеся от реализации имущества должника денежные средства суды руководствовались правилом старшинства залогов (статья 342 Гражданского кодекса Российской Федерации). Доводы учреждения фактически направлены на оспаривание размера полученных в связи с реализацией имущества должника денежных средств, не попадающее под основания для кассационного пересмотра судебных актов.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федеральному государственному казенному учреждению «Федеральное управление накопительно-ипотечной системы жилищного обеспечения военнослужащих»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Н.А.Ксенофонтова Суд: Верховный Суд РФ (подробнее) Иные лица: АО "ДОМ.РФ" (подробнее) ИФНС №16 по МО (подробнее) НПС СОПАУ "АЛЬЯНС УПРАВЛЯЮЩИХ" (подробнее) ПАО Банк ВТБ (подробнее) ТСЖ "Чижово" (подробнее) ФГКУ "Росвоенипотека" (подробнее) ФЕДЕРАЛЬНОЕ ГОСУДАРСТВЕННОЕ КАЗЕННОЕ УЧРЕЖДЕНИЕ "ФЕДЕРАЛЬНОЕ УПРАВЛЕНИЕ НАКОПИТЕЛЬНО-ИПОТЕЧНОЙ СИСТЕМЫ ЖИЛИЩНОГО ОБЕСПЕЧЕНИЯ ВОЕННОСЛУЖАЩИХ"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