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«Первая юридическая контора» обратилось в суд с заявлением об отстранении Бобровского А.В. от исполнения обязанностей конкурсного управляющего должником. Определением Арбитражного суда города Москвы от 15.12.2021, оставленным без изменения постановлением Девятого арбитражного апелляционного суда от 16.03.2022, в удовлетворении заявления отказано. Постановлением Арбитражного суда Московского округа от 05.07.2022 принятые по обособленному спору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20.2, 145 Федерального закона от 26.10.2002 № 127-ФЗ «О несостоятельности (банкротстве)», пунктом 12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20.12.2016, исходил из того, что изложенные в них выводы основаны на неполном выяснении всех имеющих существенное значение для дела обстоятельств, исследовании доказательств, оценки заслуживающих внимания и не получивших надлежащей оценки доводов конкурсного кредитора.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«Колизей» Бобровскому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