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Верховным Судом Российской Федерации 07.10.2022 вынесено определение о передаче кассационной жалобы для рассмотрения в судебном заседании Судебной коллегии по экономическим спорам Верховного Суда Российской Федерации. При изготовлении текста названного судебного акта в его резолютивной части была допущена опечатка в указании даты и времени проведения судебного заседания в Верховном Суде Российской Федерации. При указанных обстоятельствах, руководствуясь статьей 179 Арбитражного процессуального кодекса Российской Федерации, суд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в определении о передаче кассационной жалобы для рассмотрения в судебном заседании Судебной коллегии по экономическим спорам Верховного Суда Российской Федерации допущенную опечатку. Читать второй абзац резолютивной части судебного акта следующим образом: «Назначить судебное заседание по рассмотрению указанной кассационной жалобы на 15 ноября 2022 года на 15 часов 00 минут в помещении суда по адресу: Москва, улица Поварская, дом 15, зал № 3048 (подъезд 5).».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