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07.03.2022, оставленным без изменения постановлением Пятнадцатого арбитражного апелляционного суда от 06.04.2022 и постановлением Арбитражного суда Северо-Кавказского округа от 23.06.2022, заявление возвращено. В кассационной жалобе Чумакова Л.А. просит о пересмотре судебных актов, ссылаясь на нарушение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Руководствуясь статьями 312, 315 Арбитражного процессуального кодекса Российской Федерации, суды возвратили заявление как поданное с пропуском срока для обжалования судебного акта и в отсутствие оснований для его пересмотра по вновь открывшимся обстоятельствам, а также в связи с завершением процедур в деле о банкротстве. Иная толкование процессуальных норм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Чумаковой Лиане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