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Кировской области от 25.10.2021, оставленным без изменения постановлением Второго арбитражного апелляционного суда от 24.02.2022 и постановлением Арбитражного суда Волго-Вятского округа от 22.06.2022, заявление Лубнина В.Л.о взыскании с Алыповой Н.Н. 128 200 рублей судебных расходов удовлетворено на сумму в 54 000 рублей. В кассационной жалобе Алыпова Н.Н. просит об отмене судебных актов в отношении судебных расходов, ссылаясь на их чрезмерность.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Заявленные судебные расходы проверены судами на соответствие статьям 101, 106, 110 Арбитражного процессуального кодекса Российской Федерации и их судебному толкованию в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Алыповой Наталье Николаевне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